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Dudzik Antoni</w:t>
      </w:r>
    </w:p>
    <w:p>
      <w:pPr>
        <w:pStyle w:val="centerParagraph"/>
      </w:pPr>
      <w:r>
        <w:rPr>
          <w:rStyle w:val="normalStyle"/>
        </w:rPr>
        <w:t xml:space="preserve">1870-?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Zdał egzamin nauczycielski w zakresie nauczania języka polskiego. W Państwowym Gimnazjum Męskim w Grudziądzu, przejętym przez władze polskie w 1920 r., był profesorem języka polskiego, greki oraz łaciny. Był już w&amp;oacute;wczas doświadczonym pedagogiem, gdyż w 1925 r. posiadał 28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Dudzik Antoni</dc:title>
  <dc:description/>
  <dc:subject/>
  <cp:keywords/>
  <cp:category/>
  <cp:lastModifiedBy/>
  <dcterms:created xsi:type="dcterms:W3CDTF">2026-11-01T15:09:57+00:00</dcterms:created>
  <dcterms:modified xsi:type="dcterms:W3CDTF">2026-11-01T15:09:57+00:00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