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Wydział powiatowy powiatu chojnickiego</w:t>
      </w:r>
    </w:p>
    <w:p>
      <w:pPr/>
      <w:r>
        <w:rPr>
          <w:rStyle w:val="normalStyle"/>
        </w:rPr>
        <w:t xml:space="preserve">Wydział powiatowy powiatu chojnickiego, członek zwyczajny (instytucjonalny) w TNT w r. 1925.</w:t>
      </w:r>
    </w:p>
    <w:p/>
    <w:p>
      <w:pPr/>
      <w:r>
        <w:rPr>
          <w:rStyle w:val="normalStyle"/>
        </w:rPr>
        <w:t xml:space="preserve">Wydziały powiatowe były organami wykonawczymi władzy powiatowej. Na terenie zaboru pruskiego aż do 1933 r. ich funkcjonowanie było określone przez ustawodawstwo pruskie i pojedyncze rozporządzenia z początku lat 20. W skład wydziału wchodziło sześciu członk&amp;oacute;w, wybieranych przez sejmik powiatowy oraz starosta, wyznaczany przez władze centralne. W wyniku ustawy scaleniowej z 1933 r. starosta powiatowy stawał się przedstawicielem administracji centralnej. Jak wcześniej, wydział powiatowy wybierany był przez radę powiatową. Sam wydział m&amp;oacute;gł być rozwiązany przez wojewodę, sprawującego kontrolę nad administracją powiatową.
Wydział powiatowy powiatu chojnickiego swoją wsp&amp;oacute;łpracę z Towarzystwem Naukowym rozpoczął w połowie 1925 r. Towarzystwo zwr&amp;oacute;ciło się do starostw z prośbą o stworzenie listy os&amp;oacute;b, kt&amp;oacute;re mogłyby być zainteresowane członkostwem w TNT. Starosta chojnicki Seweryn Weiss do stycznia 1926 r. energicznie korespondował z gminami, starając się uzyskać jak najdokładniejsze informacje, przedstawiając listę 120 os&amp;oacute;b. Wydział powiatowy został też członkiem Towarzystwa w grudniu 1925 r., płacąc jednokrotnie standardową składkę.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Wydział powiatowy powiatu chojnickiego</dc:title>
  <dc:description/>
  <dc:subject/>
  <cp:keywords/>
  <cp:category/>
  <cp:lastModifiedBy/>
  <dcterms:created xsi:type="dcterms:W3CDTF">2026-09-16T12:13:53+00:00</dcterms:created>
  <dcterms:modified xsi:type="dcterms:W3CDTF">2026-09-16T12:13:53+00:00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